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24" w:rsidRPr="00332749" w:rsidRDefault="00F52024" w:rsidP="00F52024">
      <w:pPr>
        <w:rPr>
          <w:rFonts w:asciiTheme="minorHAnsi" w:hAnsiTheme="minorHAnsi"/>
          <w:sz w:val="22"/>
          <w:szCs w:val="22"/>
        </w:rPr>
      </w:pPr>
      <w:r w:rsidRPr="00332749">
        <w:rPr>
          <w:rFonts w:asciiTheme="minorHAnsi" w:eastAsia="Times New Roman" w:hAnsiTheme="minorHAnsi"/>
          <w:color w:val="000000" w:themeColor="text1"/>
          <w:sz w:val="36"/>
          <w:szCs w:val="36"/>
          <w:lang w:val="en-US"/>
        </w:rPr>
        <w:t>Laboratory Emergency Preparedness Checklist</w:t>
      </w:r>
    </w:p>
    <w:p w:rsidR="00F52024" w:rsidRPr="00332749" w:rsidRDefault="00F52024" w:rsidP="00F52024">
      <w:pPr>
        <w:rPr>
          <w:rFonts w:asciiTheme="minorHAnsi" w:hAnsiTheme="minorHAnsi"/>
          <w:sz w:val="22"/>
          <w:szCs w:val="22"/>
        </w:rPr>
      </w:pPr>
      <w:r w:rsidRPr="00332749">
        <w:rPr>
          <w:rFonts w:asciiTheme="minorHAnsi" w:eastAsia="Arial" w:hAnsiTheme="minorHAnsi" w:cs="Arial"/>
          <w:color w:val="000000" w:themeColor="text1"/>
          <w:sz w:val="22"/>
          <w:szCs w:val="22"/>
        </w:rPr>
        <w:t xml:space="preserve">The following are recommended steps to take prior to an event that may result in an interruption of laboratory operations.  </w:t>
      </w:r>
    </w:p>
    <w:tbl>
      <w:tblPr>
        <w:tblStyle w:val="TableGrid"/>
        <w:tblW w:w="1077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54"/>
        <w:gridCol w:w="4820"/>
      </w:tblGrid>
      <w:tr w:rsidR="00F52024" w:rsidRPr="00332749" w:rsidTr="00D45F52">
        <w:tc>
          <w:tcPr>
            <w:tcW w:w="5954" w:type="dxa"/>
          </w:tcPr>
          <w:p w:rsidR="00F52024" w:rsidRPr="00332749" w:rsidRDefault="00F52024" w:rsidP="00D45F52">
            <w:pPr>
              <w:ind w:left="-5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</w:rPr>
              <w:t xml:space="preserve"> </w:t>
            </w: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Lab Checklist:</w:t>
            </w:r>
          </w:p>
          <w:p w:rsidR="00F52024" w:rsidRPr="00332749" w:rsidRDefault="00F52024" w:rsidP="00D45F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3274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Secure chemicals and hazardous agents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Remove all chemicals and glassware from benchtops and store in cabinets as appropriate.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Ensure that water reactive chemicals are in sealed containers and stored as appropriate.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Remove biological materials from biosafety cabinets and/or benches, disinfect or autoclave, or safely store them as appropriate.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Ensure that all chemicals, radioactive, and hazardous waste containers are properly stored according to practices.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Ensure all gas valves are closed. If available, shut off gas to area.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Check that all compressed gas cylinders are secured.  Remove regulators and use caps.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Consolidate storage of valuable perishable items within storage units that have backup systems if possible. </w:t>
            </w:r>
          </w:p>
          <w:p w:rsidR="00F52024" w:rsidRPr="00332749" w:rsidRDefault="00F52024" w:rsidP="00D45F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3274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Secure equipment and room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Secure/shut down all experiments that could be affected by loss of electricity, water, or other services.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Shut off and unplug sensitive electric equipment.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Close fume hoods/biosafety cabinets.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Turn off appliances, computers, hot plates, ovens, and other equipment. Unplug equipment if possible.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Fill dewars and cryogen containers for sample storage and critical equipment.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If possible, elevate equipment, materials and supplies, including electrical wires and chemicals, off the floor.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Inspect all equipment requiring uninterrupted power for electricity supplied through an Uninterrupted Power Supply (UPS) and by emergency power (emergency generator).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Close all windows and lock all doors. </w:t>
            </w:r>
          </w:p>
          <w:p w:rsidR="00F52024" w:rsidRPr="00332749" w:rsidRDefault="00F52024" w:rsidP="00D45F5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3274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Secure information and communications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Secure lab notebooks and other data storage media.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Ensure emergency contact and phone numbers are up to date.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Take phone tree with you or copy of your department’s business continuity plan, if available. </w:t>
            </w:r>
          </w:p>
          <w:p w:rsidR="00F52024" w:rsidRPr="00332749" w:rsidRDefault="00F52024" w:rsidP="00D45F52">
            <w:pPr>
              <w:spacing w:after="80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Prepare for telecommuting as applicable and as procedures and policies of your department and division.</w:t>
            </w:r>
          </w:p>
          <w:p w:rsidR="00F52024" w:rsidRPr="00332749" w:rsidRDefault="00F52024" w:rsidP="00D45F52">
            <w:pPr>
              <w:ind w:left="314" w:hanging="284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3274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332749">
              <w:rPr>
                <w:rFonts w:asciiTheme="minorHAnsi" w:hAnsiTheme="minorHAnsi" w:cstheme="minorHAnsi"/>
                <w:sz w:val="22"/>
                <w:szCs w:val="22"/>
              </w:rPr>
              <w:t xml:space="preserve"> Ensure you know how to contact your principal investigator, department representatives/research operations manager, and facility management group. 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Contacts: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Principal Investigator: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Department Representative / Research Operations Manager: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Facility Manager: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65"/>
              <w:gridCol w:w="2265"/>
            </w:tblGrid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Mobile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F52024" w:rsidRPr="00332749" w:rsidTr="00D45F52"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2265" w:type="dxa"/>
                </w:tcPr>
                <w:p w:rsidR="00F52024" w:rsidRPr="00332749" w:rsidRDefault="00F52024" w:rsidP="00D45F5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32749">
                    <w:rPr>
                      <w:rFonts w:asciiTheme="minorHAnsi" w:eastAsia="Arial" w:hAnsiTheme="minorHAnsi" w:cs="Arial"/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Reporting an Emergency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Call emergency services at 9-1-1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Notify Campus Police - Emergency:</w:t>
            </w:r>
          </w:p>
          <w:p w:rsidR="00F52024" w:rsidRPr="00332749" w:rsidRDefault="00F52024" w:rsidP="00D45F52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416-978-2222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Building Emergency Repair: </w:t>
            </w:r>
            <w:r w:rsidRPr="00332749">
              <w:rPr>
                <w:rFonts w:asciiTheme="minorHAnsi" w:hAnsiTheme="minorHAnsi"/>
              </w:rPr>
              <w:br/>
            </w: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416-978 3000 (83000)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Reporting an incident or accident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4">
              <w:r w:rsidRPr="00332749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https://ehs.utoronto.ca/report-an-incident/</w:t>
              </w:r>
            </w:hyperlink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Latest U of T COVID-19 information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5" w:anchor="faq">
              <w:r w:rsidRPr="00332749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https://www.utoronto.ca/message-from-the-university-regarding-the-coronavirus#faq</w:t>
              </w:r>
            </w:hyperlink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Feeling Distressed? There’s Help.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6">
              <w:r w:rsidRPr="00332749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https://safety.utoronto.ca/</w:t>
              </w:r>
            </w:hyperlink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F52024" w:rsidRPr="00332749" w:rsidRDefault="00F52024" w:rsidP="00D45F52">
            <w:pPr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Arial" w:hAnsiTheme="minorHAnsi" w:cs="Arial"/>
                <w:b/>
                <w:bCs/>
                <w:color w:val="000000" w:themeColor="text1"/>
                <w:sz w:val="22"/>
                <w:szCs w:val="22"/>
              </w:rPr>
              <w:t>Emergency Alerts</w:t>
            </w:r>
          </w:p>
          <w:p w:rsidR="00F52024" w:rsidRPr="00332749" w:rsidRDefault="00F52024" w:rsidP="00D45F52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332749">
              <w:rPr>
                <w:rFonts w:asciiTheme="minorHAnsi" w:eastAsia="Courier New" w:hAnsiTheme="minorHAnsi" w:cs="Courier New"/>
                <w:color w:val="000000" w:themeColor="text1"/>
                <w:sz w:val="22"/>
                <w:szCs w:val="22"/>
              </w:rPr>
              <w:t>o</w:t>
            </w:r>
            <w:r w:rsidRPr="00332749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  </w:t>
            </w:r>
            <w:hyperlink r:id="rId7">
              <w:r w:rsidRPr="00332749">
                <w:rPr>
                  <w:rStyle w:val="Hyperlink"/>
                  <w:rFonts w:asciiTheme="minorHAnsi" w:eastAsia="Arial" w:hAnsiTheme="minorHAnsi" w:cs="Arial"/>
                  <w:color w:val="0563C1"/>
                  <w:sz w:val="22"/>
                  <w:szCs w:val="22"/>
                </w:rPr>
                <w:t>https://www.utoronto.ca/alerts</w:t>
              </w:r>
            </w:hyperlink>
          </w:p>
          <w:p w:rsidR="00F52024" w:rsidRPr="00332749" w:rsidRDefault="00F52024" w:rsidP="00D45F52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F52024" w:rsidRPr="00871844" w:rsidRDefault="00F52024" w:rsidP="00F52024">
      <w:bookmarkStart w:id="20" w:name="_GoBack"/>
      <w:bookmarkEnd w:id="20"/>
    </w:p>
    <w:sectPr w:rsidR="00F52024" w:rsidRPr="00871844" w:rsidSect="00A31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24"/>
    <w:rsid w:val="007A615F"/>
    <w:rsid w:val="00F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56B78"/>
  <w14:defaultImageDpi w14:val="330"/>
  <w15:chartTrackingRefBased/>
  <w15:docId w15:val="{C6ABAA54-AADF-4378-B4CE-5487ABA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2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02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52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toronto.ca/ale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.utoronto.ca/" TargetMode="External"/><Relationship Id="rId5" Type="http://schemas.openxmlformats.org/officeDocument/2006/relationships/hyperlink" Target="https://www.utoronto.ca/message-from-the-university-regarding-the-coronavirus" TargetMode="External"/><Relationship Id="rId4" Type="http://schemas.openxmlformats.org/officeDocument/2006/relationships/hyperlink" Target="https://ehs.utoronto.ca/report-an-incide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3010</Characters>
  <Application>Microsoft Office Word</Application>
  <DocSecurity>0</DocSecurity>
  <Lines>25</Lines>
  <Paragraphs>7</Paragraphs>
  <ScaleCrop>false</ScaleCrop>
  <Company>University of Toronto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Wesley</dc:creator>
  <cp:keywords/>
  <dc:description/>
  <cp:lastModifiedBy>Luke Wesley</cp:lastModifiedBy>
  <cp:revision>1</cp:revision>
  <dcterms:created xsi:type="dcterms:W3CDTF">2020-03-16T19:24:00Z</dcterms:created>
  <dcterms:modified xsi:type="dcterms:W3CDTF">2020-03-16T19:26:00Z</dcterms:modified>
</cp:coreProperties>
</file>